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cs="宋体"/>
          <w:b/>
          <w:sz w:val="32"/>
          <w:szCs w:val="32"/>
        </w:rPr>
      </w:pPr>
      <w:r>
        <w:rPr>
          <w:rFonts w:hint="eastAsia" w:ascii="宋体" w:hAnsi="宋体" w:eastAsia="宋体" w:cs="宋体"/>
          <w:b/>
          <w:color w:val="FF0000"/>
          <w:sz w:val="32"/>
          <w:szCs w:val="32"/>
        </w:rPr>
        <w:t>协会</w:t>
      </w:r>
      <w:r>
        <w:rPr>
          <w:rFonts w:hint="eastAsia" w:ascii="宋体" w:hAnsi="宋体" w:eastAsia="宋体" w:cs="宋体"/>
          <w:b/>
          <w:sz w:val="32"/>
          <w:szCs w:val="32"/>
        </w:rPr>
        <w:t>标准项目建议书</w:t>
      </w:r>
    </w:p>
    <w:tbl>
      <w:tblPr>
        <w:tblStyle w:val="6"/>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建议项目名称</w:t>
            </w:r>
          </w:p>
          <w:p>
            <w:pPr>
              <w:snapToGrid w:val="0"/>
              <w:spacing w:line="360" w:lineRule="auto"/>
              <w:ind w:left="-5" w:leftChars="-6" w:hanging="12" w:hangingChars="7"/>
              <w:jc w:val="center"/>
              <w:rPr>
                <w:rFonts w:hint="eastAsia" w:ascii="宋体" w:hAnsi="宋体" w:eastAsia="宋体" w:cs="宋体"/>
                <w:sz w:val="18"/>
                <w:szCs w:val="18"/>
              </w:rPr>
            </w:pPr>
            <w:r>
              <w:rPr>
                <w:rFonts w:hint="eastAsia" w:ascii="宋体" w:hAnsi="宋体" w:eastAsia="宋体" w:cs="宋体"/>
                <w:sz w:val="18"/>
                <w:szCs w:val="18"/>
              </w:rPr>
              <w:t>(中文)</w:t>
            </w:r>
          </w:p>
        </w:tc>
        <w:tc>
          <w:tcPr>
            <w:tcW w:w="3086" w:type="dxa"/>
            <w:gridSpan w:val="4"/>
            <w:vAlign w:val="center"/>
          </w:tcPr>
          <w:p>
            <w:pPr>
              <w:rPr>
                <w:rFonts w:hint="eastAsia" w:ascii="宋体" w:hAnsi="宋体" w:eastAsia="宋体" w:cs="宋体"/>
                <w:kern w:val="2"/>
                <w:sz w:val="18"/>
                <w:szCs w:val="18"/>
                <w:lang w:val="en-US" w:eastAsia="zh-CN" w:bidi="ar-SA"/>
              </w:rPr>
            </w:pPr>
            <w:r>
              <w:rPr>
                <w:rFonts w:hint="eastAsia" w:ascii="宋体" w:hAnsi="宋体" w:eastAsia="宋体" w:cs="宋体"/>
                <w:sz w:val="18"/>
                <w:szCs w:val="18"/>
              </w:rPr>
              <w:t>产品碳足迹  产品种类规则  再生纤维增强复合材料制品</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建议项目名称</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(英文)</w:t>
            </w:r>
          </w:p>
        </w:tc>
        <w:tc>
          <w:tcPr>
            <w:tcW w:w="2644" w:type="dxa"/>
            <w:gridSpan w:val="2"/>
            <w:vAlign w:val="center"/>
          </w:tcPr>
          <w:p>
            <w:pPr>
              <w:rPr>
                <w:rFonts w:hint="eastAsia" w:ascii="宋体" w:hAnsi="宋体" w:eastAsia="宋体" w:cs="宋体"/>
                <w:sz w:val="18"/>
                <w:szCs w:val="18"/>
              </w:rPr>
            </w:pPr>
            <w:r>
              <w:rPr>
                <w:rFonts w:hint="eastAsia" w:ascii="宋体" w:hAnsi="宋体" w:eastAsia="宋体" w:cs="宋体"/>
                <w:sz w:val="18"/>
              </w:rPr>
              <w:t>Product Carbon Footprint  Product Type Rules  Recycling fiber reinforced composite material products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制定或修订</w:t>
            </w:r>
          </w:p>
        </w:tc>
        <w:tc>
          <w:tcPr>
            <w:tcW w:w="1618"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lang w:eastAsia="zh-CN"/>
              </w:rPr>
              <w:t>☑</w:t>
            </w:r>
            <w:r>
              <w:rPr>
                <w:rFonts w:hint="eastAsia" w:ascii="宋体" w:hAnsi="宋体" w:eastAsia="宋体" w:cs="宋体"/>
                <w:sz w:val="18"/>
                <w:szCs w:val="18"/>
              </w:rPr>
              <w:t>√ 制定</w:t>
            </w:r>
          </w:p>
        </w:tc>
        <w:tc>
          <w:tcPr>
            <w:tcW w:w="1468"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修订</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被修订标准号</w:t>
            </w:r>
          </w:p>
        </w:tc>
        <w:tc>
          <w:tcPr>
            <w:tcW w:w="2644" w:type="dxa"/>
            <w:gridSpan w:val="2"/>
            <w:vAlign w:val="center"/>
          </w:tcPr>
          <w:p>
            <w:pPr>
              <w:snapToGrid w:val="0"/>
              <w:spacing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采用程度</w:t>
            </w:r>
          </w:p>
        </w:tc>
        <w:tc>
          <w:tcPr>
            <w:tcW w:w="1078" w:type="dxa"/>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IDT</w:t>
            </w:r>
          </w:p>
        </w:tc>
        <w:tc>
          <w:tcPr>
            <w:tcW w:w="1080"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MOD</w:t>
            </w:r>
          </w:p>
        </w:tc>
        <w:tc>
          <w:tcPr>
            <w:tcW w:w="928" w:type="dxa"/>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 NEQ</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采标号</w:t>
            </w:r>
          </w:p>
        </w:tc>
        <w:tc>
          <w:tcPr>
            <w:tcW w:w="2644" w:type="dxa"/>
            <w:gridSpan w:val="2"/>
            <w:vAlign w:val="center"/>
          </w:tcPr>
          <w:p>
            <w:pPr>
              <w:snapToGrid w:val="0"/>
              <w:spacing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国际标准名称（中文）</w:t>
            </w:r>
          </w:p>
        </w:tc>
        <w:tc>
          <w:tcPr>
            <w:tcW w:w="3086" w:type="dxa"/>
            <w:gridSpan w:val="4"/>
            <w:vAlign w:val="center"/>
          </w:tcPr>
          <w:p>
            <w:pPr>
              <w:snapToGrid w:val="0"/>
              <w:spacing w:line="360" w:lineRule="auto"/>
              <w:rPr>
                <w:rFonts w:hint="eastAsia" w:ascii="宋体" w:hAnsi="宋体" w:eastAsia="宋体" w:cs="宋体"/>
                <w:sz w:val="18"/>
                <w:szCs w:val="18"/>
              </w:rPr>
            </w:pP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国际标准名称（英文）</w:t>
            </w:r>
          </w:p>
        </w:tc>
        <w:tc>
          <w:tcPr>
            <w:tcW w:w="2644" w:type="dxa"/>
            <w:gridSpan w:val="2"/>
            <w:vAlign w:val="center"/>
          </w:tcPr>
          <w:p>
            <w:pPr>
              <w:snapToGrid w:val="0"/>
              <w:spacing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ICS分类号</w:t>
            </w:r>
          </w:p>
        </w:tc>
        <w:tc>
          <w:tcPr>
            <w:tcW w:w="3086" w:type="dxa"/>
            <w:gridSpan w:val="4"/>
            <w:vAlign w:val="center"/>
          </w:tcPr>
          <w:p>
            <w:pPr>
              <w:snapToGrid w:val="0"/>
              <w:spacing w:line="36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83.120</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中国标准分类号</w:t>
            </w:r>
          </w:p>
        </w:tc>
        <w:tc>
          <w:tcPr>
            <w:tcW w:w="2644" w:type="dxa"/>
            <w:gridSpan w:val="2"/>
            <w:vAlign w:val="center"/>
          </w:tcPr>
          <w:p>
            <w:pPr>
              <w:snapToGrid w:val="0"/>
              <w:spacing w:line="360" w:lineRule="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Q23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标准主要起草单位</w:t>
            </w:r>
          </w:p>
        </w:tc>
        <w:tc>
          <w:tcPr>
            <w:tcW w:w="3086" w:type="dxa"/>
            <w:gridSpan w:val="4"/>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中纤复材再生资源咨询服务（北京）有限公司</w:t>
            </w:r>
          </w:p>
        </w:tc>
        <w:tc>
          <w:tcPr>
            <w:tcW w:w="1843"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计划起止时间</w:t>
            </w:r>
          </w:p>
        </w:tc>
        <w:tc>
          <w:tcPr>
            <w:tcW w:w="2644" w:type="dxa"/>
            <w:gridSpan w:val="2"/>
            <w:vAlign w:val="center"/>
          </w:tcPr>
          <w:p>
            <w:pPr>
              <w:snapToGrid w:val="0"/>
              <w:spacing w:line="360" w:lineRule="auto"/>
              <w:rPr>
                <w:rFonts w:hint="eastAsia" w:ascii="宋体" w:hAnsi="宋体" w:eastAsia="宋体" w:cs="宋体"/>
                <w:sz w:val="18"/>
                <w:szCs w:val="18"/>
              </w:rPr>
            </w:pPr>
            <w:r>
              <w:rPr>
                <w:rFonts w:hint="eastAsia" w:ascii="宋体" w:hAnsi="宋体" w:eastAsia="宋体" w:cs="宋体"/>
                <w:sz w:val="18"/>
                <w:szCs w:val="18"/>
              </w:rPr>
              <w:t>2024年1月-2025年1月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目的﹑意义或必</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要性</w:t>
            </w:r>
          </w:p>
        </w:tc>
        <w:tc>
          <w:tcPr>
            <w:tcW w:w="7573" w:type="dxa"/>
            <w:gridSpan w:val="8"/>
            <w:vAlign w:val="center"/>
          </w:tcPr>
          <w:p>
            <w:pPr>
              <w:widowControl/>
              <w:shd w:val="clear" w:color="auto" w:fill="FFFFFF"/>
              <w:spacing w:before="240"/>
              <w:ind w:firstLine="360" w:firstLineChars="200"/>
              <w:jc w:val="left"/>
              <w:rPr>
                <w:rFonts w:hint="eastAsia" w:ascii="宋体" w:hAnsi="宋体" w:eastAsia="宋体" w:cs="宋体"/>
                <w:sz w:val="18"/>
              </w:rPr>
            </w:pPr>
            <w:r>
              <w:rPr>
                <w:rFonts w:hint="eastAsia" w:ascii="宋体" w:hAnsi="宋体" w:eastAsia="宋体" w:cs="宋体"/>
                <w:sz w:val="18"/>
              </w:rPr>
              <w:t>2022年4月7日，工信部等</w:t>
            </w:r>
            <w:r>
              <w:rPr>
                <w:rFonts w:hint="eastAsia" w:ascii="宋体" w:hAnsi="宋体" w:eastAsia="宋体" w:cs="宋体"/>
                <w:sz w:val="18"/>
                <w:lang w:val="en-US" w:eastAsia="zh-CN"/>
              </w:rPr>
              <w:t>几</w:t>
            </w:r>
            <w:r>
              <w:rPr>
                <w:rFonts w:hint="eastAsia" w:ascii="宋体" w:hAnsi="宋体" w:eastAsia="宋体" w:cs="宋体"/>
                <w:sz w:val="18"/>
              </w:rPr>
              <w:t>部门联合下发《关于“十四五”推动石化化工行业高质量发展的指导意见》（工信部联原〔2022〕34号），文件要求“建立完善化工新材料特别是改性专用料、精细化学品尤其是专用化学品等标准体系，生物基材料、生物可降解塑料、再生塑料材料评价标识管理体系，绿色用能监测与评价体系。探索基于碳足迹制修订含碳化工产品碳排放核算以及低碳产品评价等标准。参与全球标准规则制定，加强国际标准评估转化。”</w:t>
            </w:r>
          </w:p>
          <w:p>
            <w:pPr>
              <w:pStyle w:val="2"/>
              <w:spacing w:line="240" w:lineRule="auto"/>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2022年9月14日，工业和信息化部、国资委、市场监管总局、知识产权局四部门联合发布《原材料工业“三品”实施方案》（工信厅联原〔2022〕24号）文件中提出“围绕石化化工、钢铁、有色金属、建材等行业，开展节能降碳和绿色转型升级改造，逐步降低原材料产品单位能耗和碳排放量。加强可降解塑料、生物基材料等高品质绿色低碳材料研发和应用，强化绿色产品评价标准实施，建立重点产品全生命周期碳排放数据库，探索将原材料产品碳足迹指标纳入评价体系。”</w:t>
            </w:r>
          </w:p>
          <w:p>
            <w:pPr>
              <w:ind w:firstLine="360" w:firstLineChars="200"/>
              <w:rPr>
                <w:rFonts w:hint="eastAsia" w:ascii="宋体" w:hAnsi="宋体" w:eastAsia="宋体" w:cs="宋体"/>
                <w:sz w:val="18"/>
              </w:rPr>
            </w:pPr>
            <w:r>
              <w:rPr>
                <w:rFonts w:hint="eastAsia" w:ascii="宋体" w:hAnsi="宋体" w:eastAsia="宋体" w:cs="宋体"/>
                <w:sz w:val="18"/>
              </w:rPr>
              <w:t>2023年11月13日国家发展改革委等部门关于《加快建立产品碳足迹管理体系的意见》（发改环资〔2023〕1529号）要求到“2025年，国家层面出台50个左右重点产品碳足迹核算规则和标准，一批重点行业碳足迹背景数据库初步建成，国家产品碳标识认证制度基本建立。到2030年，国家层面出台200个左右重点产品碳足迹核算规则和标准，一批覆盖范围广、数据质量高、国际影响力强的重点行业碳足迹背景数据库基本建成，国家产品碳标识认证制度全面建立，碳标识得到企业和消费者的普遍认同，主要产品碳足迹核算规则、标准和碳标识得到国际广泛认可，产品碳足迹管理体系为经济社会发展全面绿色转型提供有力保障。”</w:t>
            </w:r>
          </w:p>
          <w:p>
            <w:pPr>
              <w:ind w:firstLine="360" w:firstLineChars="200"/>
              <w:rPr>
                <w:rFonts w:hint="eastAsia" w:ascii="宋体" w:hAnsi="宋体" w:eastAsia="宋体" w:cs="宋体"/>
                <w:sz w:val="18"/>
              </w:rPr>
            </w:pPr>
            <w:r>
              <w:rPr>
                <w:rFonts w:hint="eastAsia" w:ascii="宋体" w:hAnsi="宋体" w:eastAsia="宋体" w:cs="宋体"/>
                <w:sz w:val="18"/>
              </w:rPr>
              <w:t>玻璃纤维纱生产原料包括石灰石、纯碱等含碳材料，生产过程包含高温熔制，需要消耗大量的天然气和电力能源，因此吨产品能耗较高，碳排放量较大。根据中国巨石官网数据，玻纤碳排放为电解铝的9.1%，而我国电解铝行业2022年度用电量超过5000亿千瓦时，约占全社会用电总量的6.8%，碳排放量约4.26亿吨，占全国碳排放总量的5%左右。进而得到，2022年，玻纤制备过程中产生的碳排放量约为0.39亿吨。</w:t>
            </w:r>
          </w:p>
          <w:p>
            <w:pPr>
              <w:ind w:firstLine="360" w:firstLineChars="200"/>
              <w:rPr>
                <w:rFonts w:hint="eastAsia" w:ascii="宋体" w:hAnsi="宋体" w:eastAsia="宋体" w:cs="宋体"/>
                <w:sz w:val="18"/>
              </w:rPr>
            </w:pPr>
            <w:r>
              <w:rPr>
                <w:rFonts w:hint="eastAsia" w:ascii="宋体" w:hAnsi="宋体" w:eastAsia="宋体" w:cs="宋体"/>
                <w:sz w:val="18"/>
              </w:rPr>
              <w:t>再生纤维是玻璃纤维或碳纤维增强复合材料回收处理后的再生产品，使用再生纤维增强复合材料，可以做到纤维材料的再次利用，减少对不可再生资源消耗。再生纤维是经过机械粉碎或热解或化学降解处理后得到的，保留了纤维的最终状态，不需要经过原料、熔制、成形、制品阶段，在产品碳足迹计算中，减少了纤维制备过程中的碳排放，进而从源头上大大降低了产品整个生命周期的碳排放。</w:t>
            </w:r>
          </w:p>
          <w:p>
            <w:pPr>
              <w:pStyle w:val="2"/>
              <w:spacing w:line="240" w:lineRule="auto"/>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2022年，全国碳市场迈入第二个履约周期，全年共运行50周（242个交易日），碳排放配额年度成交量5088.95万吨，年度成交额28.14亿元，成交均价为45.61元/吨。再生纤维产品属于减碳项目，使用再生纤维增强复合材料，在统计产品碳足迹中可以作为减碳部分降低产品整体碳排放，核算再生纤维复合材料制品碳足迹，有利于企业精确计算整体碳排放，对于纳入国家碳市场的企业，在国家碳市场的作用下，可以将多余份额在碳市场交易。</w:t>
            </w:r>
          </w:p>
          <w:p>
            <w:pPr>
              <w:keepNext w:val="0"/>
              <w:keepLines w:val="0"/>
              <w:suppressLineNumbers w:val="0"/>
              <w:spacing w:before="0" w:beforeAutospacing="0" w:after="0" w:afterAutospacing="0"/>
              <w:ind w:left="0" w:right="0" w:firstLine="360" w:firstLineChars="200"/>
              <w:rPr>
                <w:rFonts w:hint="eastAsia" w:ascii="宋体" w:hAnsi="宋体" w:eastAsia="宋体" w:cs="宋体"/>
              </w:rPr>
            </w:pPr>
            <w:r>
              <w:rPr>
                <w:rFonts w:hint="eastAsia" w:ascii="宋体" w:hAnsi="宋体" w:eastAsia="宋体" w:cs="宋体"/>
                <w:sz w:val="18"/>
              </w:rPr>
              <w:t>有效核算产品碳足迹，可以剖析企业与产品各生命周期阶段的碳排放量，寻找减碳的机会，提早制定碳相关管理措施，也可以提升公司产品形象，增加市场竞争力，同时也是企业响应国家“碳达峰、碳中和”的社会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范围和主要</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技术内容</w:t>
            </w:r>
          </w:p>
        </w:tc>
        <w:tc>
          <w:tcPr>
            <w:tcW w:w="7573" w:type="dxa"/>
            <w:gridSpan w:val="8"/>
            <w:vAlign w:val="center"/>
          </w:tcPr>
          <w:p>
            <w:pPr>
              <w:ind w:firstLine="370" w:firstLineChars="206"/>
              <w:rPr>
                <w:rFonts w:hint="eastAsia" w:ascii="宋体" w:hAnsi="宋体" w:eastAsia="宋体" w:cs="宋体"/>
                <w:sz w:val="18"/>
              </w:rPr>
            </w:pPr>
            <w:r>
              <w:rPr>
                <w:rFonts w:hint="eastAsia" w:ascii="宋体" w:hAnsi="宋体" w:eastAsia="宋体" w:cs="宋体"/>
                <w:sz w:val="18"/>
              </w:rPr>
              <w:t>本标准主要再生纤维增强复合材料制品产品碳足迹的术语与定义、总则、产品描述、产品碳足迹的系统边界、核算数据收集进行了规定。</w:t>
            </w:r>
          </w:p>
          <w:p>
            <w:pPr>
              <w:pStyle w:val="2"/>
              <w:spacing w:line="240" w:lineRule="auto"/>
              <w:rPr>
                <w:rFonts w:hint="eastAsia" w:ascii="宋体" w:hAnsi="宋体" w:eastAsia="宋体" w:cs="宋体"/>
                <w:b w:val="0"/>
                <w:kern w:val="2"/>
                <w:sz w:val="18"/>
                <w:szCs w:val="20"/>
                <w:lang w:val="en-US" w:eastAsia="zh-CN" w:bidi="ar-SA"/>
              </w:rPr>
            </w:pPr>
            <w:r>
              <w:rPr>
                <w:rFonts w:hint="eastAsia" w:ascii="宋体" w:hAnsi="宋体" w:eastAsia="宋体" w:cs="宋体"/>
              </w:rPr>
              <w:t xml:space="preserve">   </w:t>
            </w:r>
            <w:r>
              <w:rPr>
                <w:rFonts w:hint="eastAsia" w:ascii="宋体" w:hAnsi="宋体" w:eastAsia="宋体" w:cs="宋体"/>
                <w:b w:val="0"/>
                <w:kern w:val="2"/>
                <w:sz w:val="18"/>
                <w:szCs w:val="20"/>
                <w:lang w:val="en-US" w:eastAsia="zh-CN" w:bidi="ar-SA"/>
              </w:rPr>
              <w:t>1. 根据产品从原材料、生产、储存、运输、使用、回收处理各阶段确认产品阶段范围；</w:t>
            </w:r>
          </w:p>
          <w:p>
            <w:pPr>
              <w:ind w:firstLine="435"/>
              <w:rPr>
                <w:rFonts w:hint="eastAsia" w:ascii="宋体" w:hAnsi="宋体" w:eastAsia="宋体" w:cs="宋体"/>
                <w:b w:val="0"/>
                <w:kern w:val="2"/>
                <w:sz w:val="18"/>
                <w:szCs w:val="20"/>
                <w:lang w:val="en-US" w:eastAsia="zh-CN" w:bidi="ar-SA"/>
              </w:rPr>
            </w:pPr>
            <w:r>
              <w:rPr>
                <w:rFonts w:hint="eastAsia" w:ascii="宋体" w:hAnsi="宋体" w:eastAsia="宋体" w:cs="宋体"/>
                <w:b w:val="0"/>
                <w:kern w:val="2"/>
                <w:sz w:val="18"/>
                <w:szCs w:val="20"/>
                <w:lang w:val="en-US" w:eastAsia="zh-CN" w:bidi="ar-SA"/>
              </w:rPr>
              <w:t>2. 根据再生纤维生产阶段、树脂生产阶段、材料运输、储存阶段、复合材料成型阶段、产品试用阶段及最终产品报废后回收处理阶段确认各阶段温室气体排放源；</w:t>
            </w:r>
          </w:p>
          <w:p>
            <w:pPr>
              <w:pStyle w:val="2"/>
              <w:spacing w:line="240" w:lineRule="auto"/>
              <w:ind w:firstLine="435"/>
              <w:rPr>
                <w:rFonts w:hint="eastAsia" w:ascii="宋体" w:hAnsi="宋体" w:eastAsia="宋体" w:cs="宋体"/>
                <w:b w:val="0"/>
                <w:kern w:val="2"/>
                <w:sz w:val="18"/>
                <w:szCs w:val="20"/>
                <w:lang w:val="en-US" w:eastAsia="zh-CN" w:bidi="ar-SA"/>
              </w:rPr>
            </w:pPr>
            <w:r>
              <w:rPr>
                <w:rFonts w:hint="eastAsia" w:ascii="宋体" w:hAnsi="宋体" w:eastAsia="宋体" w:cs="宋体"/>
                <w:b w:val="0"/>
                <w:kern w:val="2"/>
                <w:sz w:val="18"/>
                <w:szCs w:val="20"/>
                <w:lang w:val="en-US" w:eastAsia="zh-CN" w:bidi="ar-SA"/>
              </w:rPr>
              <w:t>3. 收集各生命周期各阶段温室气体排放数据；</w:t>
            </w:r>
          </w:p>
          <w:p>
            <w:pPr>
              <w:ind w:left="720" w:hanging="720" w:hangingChars="400"/>
              <w:rPr>
                <w:rFonts w:hint="eastAsia" w:ascii="宋体" w:hAnsi="宋体" w:eastAsia="宋体" w:cs="宋体"/>
                <w:b w:val="0"/>
                <w:kern w:val="2"/>
                <w:sz w:val="18"/>
                <w:szCs w:val="20"/>
                <w:lang w:val="en-US" w:eastAsia="zh-CN" w:bidi="ar-SA"/>
              </w:rPr>
            </w:pPr>
            <w:r>
              <w:rPr>
                <w:rFonts w:hint="eastAsia" w:ascii="宋体" w:hAnsi="宋体" w:eastAsia="宋体" w:cs="宋体"/>
                <w:b w:val="0"/>
                <w:kern w:val="2"/>
                <w:sz w:val="18"/>
                <w:szCs w:val="20"/>
                <w:lang w:val="en-US" w:eastAsia="zh-CN" w:bidi="ar-SA"/>
              </w:rPr>
              <w:t xml:space="preserve">     4. 根据确认的排放源及收集的数据生成碳足迹报告。</w:t>
            </w:r>
          </w:p>
          <w:p>
            <w:pPr>
              <w:pStyle w:val="2"/>
              <w:tabs>
                <w:tab w:val="left" w:pos="1059"/>
              </w:tabs>
              <w:spacing w:line="240" w:lineRule="auto"/>
              <w:ind w:firstLine="360" w:firstLineChars="200"/>
              <w:rPr>
                <w:rFonts w:hint="eastAsia" w:ascii="宋体" w:hAnsi="宋体" w:eastAsia="宋体" w:cs="宋体"/>
                <w:sz w:val="18"/>
                <w:szCs w:val="18"/>
                <w:lang w:eastAsia="zh-CN"/>
              </w:rPr>
            </w:pPr>
            <w:r>
              <w:rPr>
                <w:rFonts w:hint="eastAsia" w:ascii="宋体" w:hAnsi="宋体" w:eastAsia="宋体" w:cs="宋体"/>
                <w:b w:val="0"/>
                <w:kern w:val="2"/>
                <w:sz w:val="18"/>
                <w:szCs w:val="20"/>
                <w:lang w:val="en-US" w:eastAsia="zh-CN" w:bidi="ar-SA"/>
              </w:rPr>
              <w:t>本标准适用于再生纤维增强复合材料制品的碳足迹核算。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3" w:hRule="atLeast"/>
          <w:jc w:val="center"/>
        </w:trPr>
        <w:tc>
          <w:tcPr>
            <w:tcW w:w="2167" w:type="dxa"/>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国内外情况</w:t>
            </w: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简要说明</w:t>
            </w:r>
          </w:p>
        </w:tc>
        <w:tc>
          <w:tcPr>
            <w:tcW w:w="7573" w:type="dxa"/>
            <w:gridSpan w:val="8"/>
            <w:vAlign w:val="center"/>
          </w:tcPr>
          <w:p>
            <w:pPr>
              <w:numPr>
                <w:ilvl w:val="0"/>
                <w:numId w:val="1"/>
              </w:numPr>
              <w:rPr>
                <w:rFonts w:hint="eastAsia" w:ascii="宋体" w:hAnsi="宋体" w:eastAsia="宋体" w:cs="宋体"/>
                <w:b w:val="0"/>
                <w:sz w:val="18"/>
                <w:szCs w:val="24"/>
              </w:rPr>
            </w:pPr>
            <w:r>
              <w:rPr>
                <w:rFonts w:hint="eastAsia" w:ascii="宋体" w:hAnsi="宋体" w:eastAsia="宋体" w:cs="宋体"/>
                <w:b w:val="0"/>
                <w:sz w:val="18"/>
                <w:szCs w:val="24"/>
              </w:rPr>
              <w:t>国内外对该技术研究情况简要说明：</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国外关于碳足迹的标准，ISO14067《温室气体 产品碳足迹 量化要求和指南》给出的是产品碳足迹的量化要求及指南，而PAS2050《商品和服务在生命周期内的温室气体排放评价规范》是对产品整个生命周期的评价，是总纲性文件，对明确到具体产品的碳足迹评价，可以作为参考文件使用。</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国内，关于碳足迹相关标准正在制定中，没有关于</w:t>
            </w:r>
            <w:r>
              <w:rPr>
                <w:rFonts w:hint="eastAsia" w:ascii="宋体" w:hAnsi="宋体" w:eastAsia="宋体" w:cs="宋体"/>
                <w:b w:val="0"/>
                <w:kern w:val="2"/>
                <w:sz w:val="18"/>
                <w:szCs w:val="20"/>
                <w:lang w:val="en-US" w:eastAsia="zh-CN" w:bidi="ar-SA"/>
              </w:rPr>
              <w:t>再生纤维增强复合材料制品</w:t>
            </w:r>
            <w:r>
              <w:rPr>
                <w:rFonts w:hint="eastAsia" w:ascii="宋体" w:hAnsi="宋体" w:eastAsia="宋体" w:cs="宋体"/>
                <w:b w:val="0"/>
                <w:sz w:val="18"/>
                <w:szCs w:val="24"/>
              </w:rPr>
              <w:t>相关碳足迹标准。</w:t>
            </w:r>
          </w:p>
          <w:p>
            <w:pPr>
              <w:numPr>
                <w:ilvl w:val="0"/>
                <w:numId w:val="1"/>
              </w:numPr>
              <w:ind w:left="0" w:leftChars="0" w:firstLine="0" w:firstLineChars="0"/>
              <w:rPr>
                <w:rFonts w:hint="eastAsia" w:ascii="宋体" w:hAnsi="宋体" w:eastAsia="宋体" w:cs="宋体"/>
                <w:b w:val="0"/>
                <w:sz w:val="18"/>
                <w:szCs w:val="24"/>
              </w:rPr>
            </w:pPr>
            <w:r>
              <w:rPr>
                <w:rFonts w:hint="eastAsia" w:ascii="宋体" w:hAnsi="宋体" w:eastAsia="宋体" w:cs="宋体"/>
                <w:b w:val="0"/>
                <w:sz w:val="18"/>
                <w:szCs w:val="24"/>
              </w:rPr>
              <w:t>项目与国际标准或国外先进标准采用程度的考虑：</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该标准项目目前尚无对应的国际标准或国外先进标准。</w:t>
            </w:r>
          </w:p>
          <w:p>
            <w:pPr>
              <w:numPr>
                <w:ilvl w:val="0"/>
                <w:numId w:val="1"/>
              </w:numPr>
              <w:ind w:left="0" w:leftChars="0" w:firstLine="0" w:firstLineChars="0"/>
              <w:rPr>
                <w:rFonts w:hint="eastAsia" w:ascii="宋体" w:hAnsi="宋体" w:eastAsia="宋体" w:cs="宋体"/>
                <w:b w:val="0"/>
                <w:sz w:val="18"/>
                <w:szCs w:val="24"/>
              </w:rPr>
            </w:pPr>
            <w:r>
              <w:rPr>
                <w:rFonts w:hint="eastAsia" w:ascii="宋体" w:hAnsi="宋体" w:eastAsia="宋体" w:cs="宋体"/>
                <w:b w:val="0"/>
                <w:sz w:val="18"/>
                <w:szCs w:val="24"/>
              </w:rPr>
              <w:t>与国内相关标准间的关系：</w:t>
            </w:r>
            <w:bookmarkStart w:id="0" w:name="_Hlk33710103"/>
          </w:p>
          <w:p>
            <w:pPr>
              <w:ind w:firstLine="360" w:firstLineChars="200"/>
              <w:rPr>
                <w:rFonts w:hint="eastAsia" w:ascii="宋体" w:hAnsi="宋体" w:eastAsia="宋体" w:cs="宋体"/>
                <w:b w:val="0"/>
                <w:sz w:val="18"/>
                <w:szCs w:val="24"/>
              </w:rPr>
            </w:pPr>
            <w:bookmarkStart w:id="1" w:name="_GoBack"/>
            <w:r>
              <w:rPr>
                <w:rFonts w:hint="eastAsia" w:ascii="宋体" w:hAnsi="宋体" w:eastAsia="宋体" w:cs="宋体"/>
                <w:b w:val="0"/>
                <w:sz w:val="18"/>
                <w:szCs w:val="24"/>
              </w:rPr>
              <w:t>该标准将参考ISO14067《温室气体 产品碳足迹 量化要求和指南》进行相关术语的定义；</w:t>
            </w:r>
          </w:p>
          <w:p>
            <w:pPr>
              <w:ind w:firstLine="360" w:firstLineChars="200"/>
              <w:rPr>
                <w:rFonts w:hint="eastAsia" w:ascii="宋体" w:hAnsi="宋体" w:eastAsia="宋体" w:cs="宋体"/>
                <w:b w:val="0"/>
                <w:sz w:val="18"/>
                <w:szCs w:val="24"/>
              </w:rPr>
            </w:pPr>
            <w:r>
              <w:rPr>
                <w:rFonts w:hint="eastAsia" w:ascii="宋体" w:hAnsi="宋体" w:eastAsia="宋体" w:cs="宋体"/>
                <w:b w:val="0"/>
                <w:sz w:val="18"/>
                <w:szCs w:val="24"/>
              </w:rPr>
              <w:t>该标准将参考PAS2050《商品和服务在生命周期内的温室气体排放评价规范》、DB44∕T 1874《产品碳足迹 产品种类规则 巴氏杀菌乳》的结构及内容开展编制工作。</w:t>
            </w:r>
            <w:bookmarkEnd w:id="0"/>
          </w:p>
          <w:bookmarkEnd w:id="1"/>
          <w:p>
            <w:pPr>
              <w:numPr>
                <w:ilvl w:val="0"/>
                <w:numId w:val="1"/>
              </w:numPr>
              <w:ind w:left="0" w:leftChars="0" w:firstLine="0" w:firstLineChars="0"/>
              <w:rPr>
                <w:rFonts w:hint="eastAsia" w:ascii="宋体" w:hAnsi="宋体" w:eastAsia="宋体" w:cs="宋体"/>
                <w:sz w:val="18"/>
                <w:szCs w:val="18"/>
              </w:rPr>
            </w:pPr>
            <w:r>
              <w:rPr>
                <w:rFonts w:hint="eastAsia" w:ascii="宋体" w:hAnsi="宋体" w:eastAsia="宋体" w:cs="宋体"/>
                <w:b w:val="0"/>
                <w:sz w:val="18"/>
                <w:szCs w:val="24"/>
              </w:rPr>
              <w:t>指出是否发现有知识产权的问题；无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pPr>
              <w:pStyle w:val="4"/>
              <w:tabs>
                <w:tab w:val="clear" w:pos="4153"/>
                <w:tab w:val="clear" w:pos="8306"/>
              </w:tabs>
              <w:spacing w:line="360" w:lineRule="auto"/>
              <w:rPr>
                <w:rFonts w:hint="eastAsia" w:ascii="宋体" w:hAnsi="宋体" w:eastAsia="宋体" w:cs="宋体"/>
                <w:szCs w:val="18"/>
              </w:rPr>
            </w:pPr>
            <w:r>
              <w:rPr>
                <w:rFonts w:hint="eastAsia" w:ascii="宋体" w:hAnsi="宋体" w:eastAsia="宋体" w:cs="宋体"/>
                <w:szCs w:val="18"/>
              </w:rPr>
              <w:t>牵头单位</w:t>
            </w:r>
          </w:p>
        </w:tc>
        <w:tc>
          <w:tcPr>
            <w:tcW w:w="3972" w:type="dxa"/>
            <w:gridSpan w:val="5"/>
            <w:vAlign w:val="center"/>
          </w:tcPr>
          <w:p>
            <w:pPr>
              <w:snapToGrid w:val="0"/>
              <w:spacing w:line="360" w:lineRule="auto"/>
              <w:jc w:val="center"/>
              <w:rPr>
                <w:rFonts w:hint="eastAsia" w:ascii="宋体" w:hAnsi="宋体" w:eastAsia="宋体" w:cs="宋体"/>
                <w:sz w:val="18"/>
                <w:szCs w:val="18"/>
              </w:rPr>
            </w:pPr>
          </w:p>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（签字、盖公章）月     日</w:t>
            </w:r>
          </w:p>
        </w:tc>
        <w:tc>
          <w:tcPr>
            <w:tcW w:w="1701" w:type="dxa"/>
            <w:gridSpan w:val="2"/>
            <w:vAlign w:val="center"/>
          </w:tcPr>
          <w:p>
            <w:pPr>
              <w:snapToGrid w:val="0"/>
              <w:spacing w:line="360" w:lineRule="auto"/>
              <w:jc w:val="center"/>
              <w:rPr>
                <w:rFonts w:hint="eastAsia" w:ascii="宋体" w:hAnsi="宋体" w:eastAsia="宋体" w:cs="宋体"/>
                <w:sz w:val="18"/>
                <w:szCs w:val="18"/>
              </w:rPr>
            </w:pPr>
            <w:r>
              <w:rPr>
                <w:rFonts w:hint="eastAsia" w:ascii="宋体" w:hAnsi="宋体" w:eastAsia="宋体" w:cs="宋体"/>
                <w:sz w:val="18"/>
                <w:szCs w:val="18"/>
              </w:rPr>
              <w:t>归口管理部门</w:t>
            </w:r>
          </w:p>
        </w:tc>
        <w:tc>
          <w:tcPr>
            <w:tcW w:w="1900" w:type="dxa"/>
            <w:vAlign w:val="center"/>
          </w:tcPr>
          <w:p>
            <w:pPr>
              <w:snapToGrid w:val="0"/>
              <w:spacing w:line="360" w:lineRule="auto"/>
              <w:rPr>
                <w:rFonts w:hint="eastAsia" w:ascii="宋体" w:hAnsi="宋体" w:eastAsia="宋体" w:cs="宋体"/>
                <w:sz w:val="18"/>
                <w:szCs w:val="18"/>
              </w:rPr>
            </w:pPr>
          </w:p>
          <w:p>
            <w:pPr>
              <w:snapToGrid w:val="0"/>
              <w:rPr>
                <w:rFonts w:hint="eastAsia" w:ascii="宋体" w:hAnsi="宋体" w:eastAsia="宋体" w:cs="宋体"/>
                <w:sz w:val="18"/>
                <w:szCs w:val="18"/>
              </w:rPr>
            </w:pPr>
            <w:r>
              <w:rPr>
                <w:rFonts w:hint="eastAsia" w:ascii="宋体" w:hAnsi="宋体" w:eastAsia="宋体" w:cs="宋体"/>
                <w:sz w:val="18"/>
                <w:szCs w:val="18"/>
              </w:rPr>
              <w:t>（签字、盖公章）</w:t>
            </w:r>
          </w:p>
          <w:p>
            <w:pPr>
              <w:snapToGrid w:val="0"/>
              <w:rPr>
                <w:rFonts w:hint="eastAsia" w:ascii="宋体" w:hAnsi="宋体" w:eastAsia="宋体" w:cs="宋体"/>
                <w:sz w:val="18"/>
                <w:szCs w:val="18"/>
              </w:rPr>
            </w:pPr>
            <w:r>
              <w:rPr>
                <w:rFonts w:hint="eastAsia" w:ascii="宋体" w:hAnsi="宋体" w:eastAsia="宋体" w:cs="宋体"/>
                <w:sz w:val="18"/>
                <w:szCs w:val="18"/>
              </w:rPr>
              <w:t xml:space="preserve">    月     日</w:t>
            </w:r>
          </w:p>
        </w:tc>
      </w:tr>
    </w:tbl>
    <w:p>
      <w:pPr>
        <w:snapToGrid w:val="0"/>
        <w:spacing w:beforeLines="5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rFonts w:hint="eastAsia"/>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pPr>
        <w:snapToGrid w:val="0"/>
        <w:rPr>
          <w:rFonts w:hint="eastAsia"/>
          <w:sz w:val="18"/>
          <w:szCs w:val="18"/>
        </w:rPr>
      </w:pPr>
    </w:p>
    <w:p>
      <w:pPr>
        <w:snapToGrid w:val="0"/>
        <w:rPr>
          <w:rFonts w:hint="eastAsia"/>
          <w:sz w:val="18"/>
          <w:szCs w:val="18"/>
        </w:rPr>
      </w:pPr>
    </w:p>
    <w:p>
      <w:pPr>
        <w:snapToGrid w:val="0"/>
        <w:rPr>
          <w:rFonts w:hint="eastAsia"/>
          <w:sz w:val="18"/>
          <w:szCs w:val="18"/>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81AF9D"/>
    <w:multiLevelType w:val="singleLevel"/>
    <w:tmpl w:val="C981AF9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FkZjRlMjgxMjdlOTgyODBiNWQ1YWYyNmYyNjI5MDEifQ=="/>
  </w:docVars>
  <w:rsids>
    <w:rsidRoot w:val="009F1940"/>
    <w:rsid w:val="00070E68"/>
    <w:rsid w:val="00126298"/>
    <w:rsid w:val="0031195C"/>
    <w:rsid w:val="00762C08"/>
    <w:rsid w:val="009F1940"/>
    <w:rsid w:val="00AE6150"/>
    <w:rsid w:val="07BB0362"/>
    <w:rsid w:val="0A48726A"/>
    <w:rsid w:val="0BA24960"/>
    <w:rsid w:val="1B091729"/>
    <w:rsid w:val="359710D4"/>
    <w:rsid w:val="38E03F73"/>
    <w:rsid w:val="3D977E72"/>
    <w:rsid w:val="5BA5318C"/>
    <w:rsid w:val="6C4A72AE"/>
    <w:rsid w:val="79EE5D1C"/>
    <w:rsid w:val="7FD82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jc w:val="both"/>
    </w:pPr>
    <w:rPr>
      <w:rFonts w:ascii="Times New Roman" w:hAnsi="Times New Roman" w:eastAsia="仿宋_GB2312" w:cs="Times New Roman"/>
      <w:kern w:val="2"/>
      <w:sz w:val="28"/>
      <w:szCs w:val="20"/>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2">
    <w:name w:val="heading 2"/>
    <w:basedOn w:val="1"/>
    <w:next w:val="1"/>
    <w:qFormat/>
    <w:uiPriority w:val="9"/>
    <w:pPr>
      <w:keepNext/>
      <w:keepLines/>
      <w:spacing w:line="360" w:lineRule="auto"/>
      <w:outlineLvl w:val="1"/>
    </w:pPr>
    <w:rPr>
      <w:rFonts w:ascii="Arial" w:hAnsi="Arial" w:eastAsia="楷体_GB2312"/>
      <w:b/>
      <w:szCs w:val="2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qFormat/>
    <w:uiPriority w:val="0"/>
    <w:rPr>
      <w:rFonts w:ascii="Times New Roman" w:hAnsi="Times New Roman" w:eastAsia="仿宋_GB2312" w:cs="Times New Roman"/>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95</Words>
  <Characters>542</Characters>
  <Lines>4</Lines>
  <Paragraphs>1</Paragraphs>
  <TotalTime>5</TotalTime>
  <ScaleCrop>false</ScaleCrop>
  <LinksUpToDate>false</LinksUpToDate>
  <CharactersWithSpaces>636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2018-08-13T03:16:00Z</dcterms:created>
  <dc:creator>zh</dc:creator>
  <cp:lastModifiedBy>ccram</cp:lastModifiedBy>
  <dcterms:modified xsi:type="dcterms:W3CDTF">2024-01-23T05:46:42Z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DA69337365DD41368FFF7B9AACA155A9_12</vt:lpwstr>
  </property>
</Properties>
</file>